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173990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A2E93" id="_x0000_t32" coordsize="21600,21600" o:spt="32" o:oned="t" path="m,l21600,21600e" filled="f">
                            <v:path arrowok="t" fillok="f" o:connecttype="none"/>
                            <o:lock v:ext="edit" shapetype="t"/>
                          </v:shapetype>
                          <v:shape id="Straight Arrow Connector 1" o:spid="_x0000_s1026" type="#_x0000_t32" style="position:absolute;margin-left:71.85pt;margin-top:13.7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"/>
                        </w:pict>
                      </mc:Fallback>
                    </mc:AlternateContent>
                  </w:r>
                  <w:r w:rsidRPr="00DA6A26">
                    <w:rPr>
                      <w:rFonts w:ascii="Times New Roman" w:hAnsi="Times New Roman"/>
                      <w:b/>
                      <w:noProof/>
                      <w:color w:val="000000"/>
                      <w:sz w:val="26"/>
                      <w:szCs w:val="26"/>
                    </w:rPr>
                    <w:t>SỞ KẾ HOẠCH VÀ ĐẦU TƯ</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678815</wp:posOffset>
                            </wp:positionH>
                            <wp:positionV relativeFrom="paragraph">
                              <wp:posOffset>180975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37B25" id="Straight Arrow Connector 2" o:spid="_x0000_s1026" type="#_x0000_t32" style="position:absolute;margin-left:53.45pt;margin-top:14.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Pr="00D075F0" w:rsidRDefault="0005206E" w:rsidP="00962622">
                  <w:pPr>
                    <w:spacing w:after="120"/>
                    <w:jc w:val="center"/>
                    <w:rPr>
                      <w:rFonts w:ascii="Times New Roman" w:hAnsi="Times New Roman"/>
                      <w:sz w:val="26"/>
                      <w:szCs w:val="26"/>
                    </w:rPr>
                  </w:pPr>
                  <w:r w:rsidRPr="00D075F0">
                    <w:rPr>
                      <w:rFonts w:ascii="Times New Roman" w:hAnsi="Times New Roman"/>
                      <w:b/>
                      <w:bCs/>
                      <w:i/>
                      <w:iCs/>
                      <w:color w:val="000000"/>
                      <w:sz w:val="26"/>
                      <w:szCs w:val="26"/>
                    </w:rPr>
                    <w:t xml:space="preserve">(Tuần lễ thứ </w:t>
                  </w:r>
                  <w:r w:rsidRPr="00D075F0">
                    <w:rPr>
                      <w:rFonts w:ascii="Times New Roman" w:hAnsi="Times New Roman"/>
                      <w:b/>
                      <w:bCs/>
                      <w:i/>
                      <w:iCs/>
                      <w:noProof/>
                      <w:color w:val="000000"/>
                      <w:sz w:val="26"/>
                      <w:szCs w:val="26"/>
                    </w:rPr>
                    <w:t>27</w:t>
                  </w:r>
                  <w:r w:rsidRPr="00D075F0">
                    <w:rPr>
                      <w:rFonts w:ascii="Times New Roman" w:hAnsi="Times New Roman"/>
                      <w:b/>
                      <w:bCs/>
                      <w:i/>
                      <w:iCs/>
                      <w:color w:val="000000"/>
                      <w:sz w:val="26"/>
                      <w:szCs w:val="26"/>
                    </w:rPr>
                    <w:t xml:space="preserve">, từ ngày </w:t>
                  </w:r>
                  <w:r w:rsidRPr="00D075F0">
                    <w:rPr>
                      <w:rFonts w:ascii="Times New Roman" w:hAnsi="Times New Roman"/>
                      <w:b/>
                      <w:bCs/>
                      <w:i/>
                      <w:iCs/>
                      <w:noProof/>
                      <w:color w:val="000000"/>
                      <w:sz w:val="26"/>
                      <w:szCs w:val="26"/>
                    </w:rPr>
                    <w:t>27/06/2022</w:t>
                  </w:r>
                  <w:r w:rsidRPr="00D075F0">
                    <w:rPr>
                      <w:rFonts w:ascii="Times New Roman" w:hAnsi="Times New Roman"/>
                      <w:b/>
                      <w:bCs/>
                      <w:i/>
                      <w:iCs/>
                      <w:color w:val="000000"/>
                      <w:sz w:val="26"/>
                      <w:szCs w:val="26"/>
                    </w:rPr>
                    <w:t xml:space="preserve"> đến ngày </w:t>
                  </w:r>
                  <w:r w:rsidRPr="00D075F0">
                    <w:rPr>
                      <w:rFonts w:ascii="Times New Roman" w:hAnsi="Times New Roman"/>
                      <w:b/>
                      <w:bCs/>
                      <w:i/>
                      <w:iCs/>
                      <w:noProof/>
                      <w:color w:val="000000"/>
                      <w:sz w:val="26"/>
                      <w:szCs w:val="26"/>
                    </w:rPr>
                    <w:t>03/07/2022</w:t>
                  </w:r>
                  <w:r w:rsidRPr="00D075F0">
                    <w:rPr>
                      <w:rFonts w:ascii="Times New Roman" w:hAnsi="Times New Roman"/>
                      <w:b/>
                      <w:bCs/>
                      <w:i/>
                      <w:iCs/>
                      <w:color w:val="000000"/>
                      <w:sz w:val="26"/>
                      <w:szCs w:val="26"/>
                    </w:rPr>
                    <w:t>)</w:t>
                  </w:r>
                </w:p>
              </w:tc>
            </w:tr>
          </w:tbl>
          <w:p w:rsidR="0005206E" w:rsidRPr="002F7296" w:rsidRDefault="0005206E" w:rsidP="00962622">
            <w:pPr>
              <w:spacing w:after="120"/>
              <w:rPr>
                <w:rFonts w:ascii="Times New Roman" w:hAnsi="Times New Roman"/>
                <w:sz w:val="10"/>
                <w:szCs w:val="28"/>
              </w:rPr>
            </w:pPr>
          </w:p>
        </w:tc>
      </w:tr>
    </w:tbl>
    <w:tbl>
      <w:tblPr>
        <w:tblStyle w:val="TableGrid"/>
        <w:tblW w:w="10773" w:type="dxa"/>
        <w:tblInd w:w="421" w:type="dxa"/>
        <w:tblLayout w:type="fixed"/>
        <w:tblCellMar>
          <w:left w:w="115" w:type="dxa"/>
          <w:right w:w="115" w:type="dxa"/>
        </w:tblCellMar>
        <w:tblLook w:val="04A0" w:firstRow="1" w:lastRow="0" w:firstColumn="1" w:lastColumn="0" w:noHBand="0" w:noVBand="1"/>
      </w:tblPr>
      <w:tblGrid>
        <w:gridCol w:w="992"/>
        <w:gridCol w:w="9781"/>
      </w:tblGrid>
      <w:tr w:rsidR="00FA0E35" w:rsidRPr="00D075F0" w:rsidTr="00D075F0">
        <w:trPr>
          <w:trHeight w:val="20"/>
        </w:trPr>
        <w:tc>
          <w:tcPr>
            <w:tcW w:w="10773" w:type="dxa"/>
            <w:gridSpan w:val="2"/>
            <w:shd w:val="clear" w:color="auto" w:fill="D9D9D9" w:themeFill="background1" w:themeFillShade="D9"/>
            <w:vAlign w:val="center"/>
          </w:tcPr>
          <w:p w:rsidR="00FA0E35" w:rsidRPr="00D075F0" w:rsidRDefault="00FA0E35" w:rsidP="00FA0E35">
            <w:pPr>
              <w:rPr>
                <w:rFonts w:ascii="Times New Roman" w:hAnsi="Times New Roman"/>
                <w:b/>
                <w:sz w:val="26"/>
                <w:szCs w:val="26"/>
              </w:rPr>
            </w:pPr>
            <w:r w:rsidRPr="00D075F0">
              <w:rPr>
                <w:rFonts w:ascii="Times New Roman" w:hAnsi="Times New Roman"/>
                <w:b/>
                <w:noProof/>
                <w:sz w:val="26"/>
                <w:szCs w:val="26"/>
              </w:rPr>
              <w:t>Thứ hai</w:t>
            </w:r>
            <w:r w:rsidRPr="00D075F0">
              <w:rPr>
                <w:rFonts w:ascii="Times New Roman" w:hAnsi="Times New Roman"/>
                <w:b/>
                <w:sz w:val="26"/>
                <w:szCs w:val="26"/>
              </w:rPr>
              <w:t xml:space="preserve"> </w:t>
            </w:r>
            <w:r w:rsidRPr="00D075F0">
              <w:rPr>
                <w:rFonts w:ascii="Times New Roman" w:hAnsi="Times New Roman"/>
                <w:b/>
                <w:noProof/>
                <w:sz w:val="26"/>
                <w:szCs w:val="26"/>
              </w:rPr>
              <w:t>27/06/2022</w:t>
            </w: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kiểm tra tiến độ thực hiện dự án Gia công gỗ gia dụng và trang trí nội thất của Công ty TNHH sản xuất gỗ Thái Phong tại thửa đất số 1886, tờ bản đồ số 29, khu phố 1B, phường Chánh Phú Hòa, thị xã Bến Cát, tỉnh Bình Dương theo phiếu đề xuất số 114/ĐX-KTĐN ngày 06/6/2022 của Phòng Kinh tế đối ngoại (thư mời số 258/GM-TTr ngày 22/6/2022 của TTr).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Kinh tế đối ngoại(Chuyên viên - Mai Yến Nhi), Thanh tra(CV - Nguyễn Đỗ Đoan Phượng, Phó Chánh Thanh tra - Huỳnh Thị Hồng Hạnh)</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thửa đất số 1886, tờ bản đồ số 29, khu phố 1B, phường Chánh Phú Hòa, thị xã Bến Cát, tỉnh Bình Dương</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họp bàn giao công việc Phó Trưởng Đoàn ĐBQH.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Hội trường Đoàn ĐBQH</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thẩm định đồ án quy hoạch phân khu xây dựng tỷ lệ 1/2000 Khu Công nghiệp Việt Naam- Singapore III (giai đoạn 1) (Theo Giấy mời số 2481/SXD-QHKT).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Sở Xây dựng</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Trực xử lý công việc khi có phát sinh, đột xuất (từ ngày 27/6/2022 đến ngày 03/7/2022).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Lai Xuân Đạt, Văn phòng, Thanh tra, Khoa giáo - Văn xã</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bookmarkStart w:id="0" w:name="_GoBack"/>
            <w:bookmarkEnd w:id="0"/>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Trao đổi nội dung thực hiện Đề án phát triển doanh nghiệp công nghệ số trên địa bàn tỉnh Bình Dương, giai đoạn 2021-2025.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Sở Thông tin và Truyền thông tỉnh Bình Dương</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họp 2</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Dành - Phó Chủ tịch UBND tỉnh chủ trì Tổng thư ký Hiệp hội doanh nghiệp Châu Âu tại Việt Nam đến thăm và làm việc với lãnh đạo tỉnh.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PGĐ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khách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17:00: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buổi tiệc kết nói với Đoàn Hiệp Hội Doanh nghiệp Châu Âu tại Việt Nam.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Khách sạn Becamex thành phố mới</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10773" w:type="dxa"/>
            <w:gridSpan w:val="2"/>
            <w:shd w:val="clear" w:color="auto" w:fill="D9D9D9" w:themeFill="background1" w:themeFillShade="D9"/>
            <w:vAlign w:val="center"/>
          </w:tcPr>
          <w:p w:rsidR="00601AD9" w:rsidRPr="00D075F0" w:rsidRDefault="00601AD9" w:rsidP="006849E3">
            <w:pPr>
              <w:rPr>
                <w:rFonts w:ascii="Times New Roman" w:hAnsi="Times New Roman"/>
                <w:sz w:val="26"/>
                <w:szCs w:val="26"/>
              </w:rPr>
            </w:pPr>
            <w:r w:rsidRPr="00D075F0">
              <w:rPr>
                <w:rFonts w:ascii="Times New Roman" w:hAnsi="Times New Roman"/>
                <w:b/>
                <w:noProof/>
                <w:sz w:val="26"/>
                <w:szCs w:val="26"/>
              </w:rPr>
              <w:t>Thứ ba</w:t>
            </w:r>
            <w:r w:rsidRPr="00D075F0">
              <w:rPr>
                <w:rFonts w:ascii="Times New Roman" w:hAnsi="Times New Roman"/>
                <w:b/>
                <w:noProof/>
                <w:sz w:val="26"/>
                <w:szCs w:val="26"/>
              </w:rPr>
              <w:t xml:space="preserve"> </w:t>
            </w:r>
            <w:r w:rsidRPr="00D075F0">
              <w:rPr>
                <w:rFonts w:ascii="Times New Roman" w:hAnsi="Times New Roman"/>
                <w:b/>
                <w:noProof/>
                <w:sz w:val="26"/>
                <w:szCs w:val="26"/>
              </w:rPr>
              <w:t>28/06/2022</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601AD9" w:rsidRPr="00D075F0" w:rsidRDefault="00601AD9"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7:30: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lớp cập nhật bồi dưỡng kiến thức quốc phòng và an ninh cho đối tượng 3 năm 2022 (Học 3 ngày, từ ngày 28/6/2022 đến ngày 30/6/2022). (Thông báo số 36/TB-SNV).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Dương Tấn Thành, Nguyễn Thanh An, Nguyễn Thị Ngọc Giàu, Nguyễn Lê Tuân, Nguyễn Thị Thanh Xuân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Ban Chỉ huy Quân sự thành phố Thủ Dầu Một. (đường ĐX80, khu phố 5, phường Định Hòa, thành phố Thủ Dầu Một,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lớp bồi dưỡng bảo mật an toàn thông tin trong tạo lập, luân chuyển, sử dụng văn bản điện tử (thời gian học từ ngày 28/6/2022 đến ngày 30/6/2022). (Công văn số 1087/SNV-ĐTTTr).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Trần Hoài Diễm</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Trung tâm Công nghệ thông tin và Truyền thông (số 36 đường Trịnh Hoài Đức, phường Phú Lợi, tp Thủ Dầu Một,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nghị giới thiệu tác phẩm của Đồng chí Tổng Bí thư. ( Theo Công văn số 812-CV/TU).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B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Lộc Hà - Phó Chủ tịch UBND tỉnh chủ trì làm việc với lãnh đạo Sở Y tế về tiến độ tiêm vắc xin, công tác mua thuốc, vật tư, trang thiết bị y tế.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Sở Y tế</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Tiếp Đoàn công tác của Trường Đại học kinh tế quốc dân đến làm việc về tình hình  kinh tế - xã hội, chỉ số năng lực cạnh tranh PCI và chính quyền điện tử của tỉnh (theo công văn của Bộ Kế hoạch và Đầu tư).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PGĐ Nguyễn Trung Tín, phòng TH-QH, ĐKKD, KTĐN, KGVX, VP</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xem xét xử lý kiến nghị của Trường CĐ Y tế về việc điều chuyển tài sản (theo Giấy mời số 216/GM-STC ngày 24/6/2022 của Sở Tài chính).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P.KG-VX</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Sở Tài chính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D3308" w:rsidRPr="00D075F0" w:rsidRDefault="00AD3308" w:rsidP="007603F9">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16:00: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Hội đồng tư vấn giải quyết KN kết quả lựa chọn nhà thầu Gói thầu “Chi phí thiết bị” công trình: Xây dựng văn phòng ấp Bố Lá, xã Phước Hòa.. </w:t>
            </w:r>
            <w:r w:rsidRPr="00D075F0">
              <w:rPr>
                <w:rFonts w:ascii="Times New Roman" w:hAnsi="Times New Roman"/>
                <w:noProof/>
                <w:sz w:val="26"/>
                <w:szCs w:val="26"/>
              </w:rPr>
              <w:t/>
            </w:r>
            <w:r w:rsidRPr="00D075F0">
              <w:rPr>
                <w:rFonts w:ascii="Times New Roman" w:hAnsi="Times New Roman"/>
                <w:noProof/>
                <w:sz w:val="26"/>
                <w:szCs w:val="26"/>
              </w:rPr>
              <w:t/>
            </w:r>
          </w:p>
          <w:p w:rsidR="00AD3308" w:rsidRPr="00D075F0" w:rsidRDefault="00AD3308" w:rsidP="00AD3308">
            <w:pPr>
              <w:ind w:left="308"/>
              <w:jc w:val="both"/>
              <w:rPr>
                <w:rFonts w:ascii="Times New Roman" w:hAnsi="Times New Roman"/>
                <w:sz w:val="26"/>
                <w:szCs w:val="26"/>
              </w:rPr>
            </w:pPr>
            <w:r w:rsidRPr="00D075F0">
              <w:rPr>
                <w:rFonts w:ascii="Times New Roman" w:hAnsi="Times New Roman"/>
                <w:sz w:val="26"/>
                <w:szCs w:val="26"/>
              </w:rPr>
              <w:t>Chủ trì: Giám đốc Sở - Phạm Trọng Nhân.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PGĐ Lai Xuân Đạt, Thanh Sơn, Lê Tuân, Bá Thông, Ngọc Ly, Văn Trúc</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r>
          </w:p>
        </w:tc>
      </w:tr>
      <w:tr w:rsidR="00371C1A" w:rsidRPr="00D075F0" w:rsidTr="00D075F0">
        <w:trPr>
          <w:trHeight w:val="20"/>
        </w:trPr>
        <w:tc>
          <w:tcPr>
            <w:tcW w:w="10773" w:type="dxa"/>
            <w:gridSpan w:val="2"/>
            <w:shd w:val="clear" w:color="auto" w:fill="D9D9D9" w:themeFill="background1" w:themeFillShade="D9"/>
            <w:vAlign w:val="center"/>
          </w:tcPr>
          <w:p w:rsidR="00371C1A" w:rsidRPr="00D075F0" w:rsidRDefault="00371C1A" w:rsidP="00371C1A">
            <w:pPr>
              <w:spacing w:after="60"/>
              <w:rPr>
                <w:rFonts w:ascii="Times New Roman" w:hAnsi="Times New Roman"/>
                <w:sz w:val="26"/>
                <w:szCs w:val="26"/>
              </w:rPr>
            </w:pPr>
            <w:r w:rsidRPr="00D075F0">
              <w:rPr>
                <w:rFonts w:ascii="Times New Roman" w:hAnsi="Times New Roman"/>
                <w:b/>
                <w:noProof/>
                <w:sz w:val="26"/>
                <w:szCs w:val="26"/>
              </w:rPr>
              <w:t>Thứ tư</w:t>
            </w:r>
            <w:r w:rsidRPr="00D075F0">
              <w:rPr>
                <w:rFonts w:ascii="Times New Roman" w:hAnsi="Times New Roman"/>
                <w:b/>
                <w:sz w:val="26"/>
                <w:szCs w:val="26"/>
              </w:rPr>
              <w:t xml:space="preserve"> </w:t>
            </w:r>
            <w:r w:rsidRPr="00D075F0">
              <w:rPr>
                <w:rFonts w:ascii="Times New Roman" w:hAnsi="Times New Roman"/>
                <w:b/>
                <w:noProof/>
                <w:sz w:val="26"/>
                <w:szCs w:val="26"/>
              </w:rPr>
              <w:t>29/06/2022</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Sáng</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Làm việc với Đoàn Giám sát Hội đồng nhân dân về tình hình, kết quả triển khai thực hiện kế hoạch đầu tư công năm 2022 trên địa bàn tỉnh (theo Thông báo số 25/TB-ĐGS và Thông báo số 32/TB-ĐGS).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Ban Giám đốc, phòng TH-QH, KTN, KGVX</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A-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gia Đoàn giám sát HĐND tỉnh tại thành phố Thủ Dầu Một.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Khoa giáo - Văn xã(CV - Phan Thị Ngọc Hiền)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Thành phố Thủ Dầu Một</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Dành - Phó Chủ tịch UBND tỉnh chủ trì họp nghe Sở Giao thông vận tải báo cáo các nội dung: (1) dự thảo Kế hoạch thực hiện Chương trình số 42-CTr/TU ngày 02/8/2021 của Tỉnh ủy; (2) Danh mục các dự án giao thông trọng điểm cần tập trung ưu tiên đầu tư nhằm đảm bảo mục tiêu phát triển hệ thống hạ tầng giao thông của tỉnh theo Chương trình số 42-CTr/TU ngày 02/8/2021 của Tỉnh ủy và kế hoạch triển khai thực hiện.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nghị quán triệt Kết luận số 12-KL/TW của Bộ Chính trị và Nghị quyết 169/NQ-CP của Chính phủ. (Công văn số 813-CV/TU).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Hội trường B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10773" w:type="dxa"/>
            <w:gridSpan w:val="2"/>
            <w:shd w:val="clear" w:color="auto" w:fill="D9D9D9" w:themeFill="background1" w:themeFillShade="D9"/>
            <w:vAlign w:val="center"/>
          </w:tcPr>
          <w:p w:rsidR="00EB7FDC" w:rsidRPr="00D075F0" w:rsidRDefault="00EB7FDC" w:rsidP="00EB7FDC">
            <w:pPr>
              <w:spacing w:after="60"/>
              <w:rPr>
                <w:rFonts w:ascii="Times New Roman" w:hAnsi="Times New Roman"/>
                <w:sz w:val="26"/>
                <w:szCs w:val="26"/>
              </w:rPr>
            </w:pPr>
            <w:r w:rsidRPr="00D075F0">
              <w:rPr>
                <w:rFonts w:ascii="Times New Roman" w:hAnsi="Times New Roman"/>
                <w:b/>
                <w:noProof/>
                <w:sz w:val="26"/>
                <w:szCs w:val="26"/>
              </w:rPr>
              <w:t>Thứ năm</w:t>
            </w:r>
            <w:r w:rsidRPr="00D075F0">
              <w:rPr>
                <w:rFonts w:ascii="Times New Roman" w:hAnsi="Times New Roman"/>
                <w:b/>
                <w:sz w:val="26"/>
                <w:szCs w:val="26"/>
              </w:rPr>
              <w:t xml:space="preserve"> </w:t>
            </w:r>
            <w:r w:rsidRPr="00D075F0">
              <w:rPr>
                <w:rFonts w:ascii="Times New Roman" w:hAnsi="Times New Roman"/>
                <w:b/>
                <w:noProof/>
                <w:sz w:val="26"/>
                <w:szCs w:val="26"/>
              </w:rPr>
              <w:t>30/06/2022</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nghị trực tuyến toàn quốc tổng kết 10 năm công tác phòng, chống tham nhũng, tiêu cực tại điểm cầu tỉnh Bình Dương (theo Công văn số 814-CV/TU)</w:t>
              <w:b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B-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gia Đoàn giám sát HDDND tỉnh tại thành phố Thuận An.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Khoa giáo - Văn xã(CV - Phan Nguyễn Đăng Thông)</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Thành phố Thuận An</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13:30: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chủ trì phiên họp UBND tỉnh thông qua Quy hoạch chi tiết 1/2000 Khu Công nghiệp VSIP3 và Đề án Quy hoạch chung thị xã Bến Cát.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Dành - Phó Chủ tịch UBND làm việc với lãnh đạo Cục Thuế. (Lịch làm việc UBDN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PGĐ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làm việc với các sở, ngành cho ý kiến xây dựng Danh mục các quy định, chính sách đặc thù của địa phương trên các ngành, lĩnh vực.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sáu</w:t>
            </w:r>
            <w:r w:rsidRPr="00D075F0">
              <w:rPr>
                <w:rFonts w:ascii="Times New Roman" w:hAnsi="Times New Roman"/>
                <w:b/>
                <w:sz w:val="26"/>
                <w:szCs w:val="26"/>
              </w:rPr>
              <w:t xml:space="preserve"> </w:t>
            </w:r>
            <w:r w:rsidRPr="00D075F0">
              <w:rPr>
                <w:rFonts w:ascii="Times New Roman" w:hAnsi="Times New Roman"/>
                <w:b/>
                <w:noProof/>
                <w:sz w:val="26"/>
                <w:szCs w:val="26"/>
              </w:rPr>
              <w:t>01/07/2022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họp giám sát kết quả việc giải quyết kiến nghị của cử tri gửi đến sau kỳ họp thứ hai, trước và sau kỳ họp thứ ba – HĐND tỉnh khóa X (theo Giấy mời số 17/GM-HĐND)</w:t>
              <w:b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A- HĐND</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đồng chí Nguyễn Văn Dành - Phó Chủ tịch UBND tỉnh tiếp và làm việc với Tổng Công ty Điện lực miền Nam về việc di dời lưới điện hiện hữu thuộc phạm vi dự án nâng cấp, mở rộng hạ tầng giao thông trên địa bàn tỉnh.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các đồng chí Phó Chủ tịch UBND tỉnh tiếp và làm việc với lãnh đạo Tập đoàn Cao su Việt Nam.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17:30: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nghị định kỳ giữa năm của Ban chấp hành Liên đoàn Doanh nghiệp tỉnh Bình Dương. (theo thư mời riêng).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Khách sạn Fairfield by Marriott Nam Bình Dương (số 05, Hữu Nghị, KCN VSIP, Thuận An,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bảy</w:t>
            </w:r>
            <w:r w:rsidRPr="00D075F0">
              <w:rPr>
                <w:rFonts w:ascii="Times New Roman" w:hAnsi="Times New Roman"/>
                <w:b/>
                <w:sz w:val="26"/>
                <w:szCs w:val="26"/>
              </w:rPr>
              <w:t xml:space="preserve"> </w:t>
            </w:r>
            <w:r w:rsidRPr="00D075F0">
              <w:rPr>
                <w:rFonts w:ascii="Times New Roman" w:hAnsi="Times New Roman"/>
                <w:b/>
                <w:noProof/>
                <w:sz w:val="26"/>
                <w:szCs w:val="26"/>
              </w:rPr>
              <w:t>02/07/2022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Chủ nhật</w:t>
            </w:r>
            <w:r w:rsidRPr="00D075F0">
              <w:rPr>
                <w:rFonts w:ascii="Times New Roman" w:hAnsi="Times New Roman"/>
                <w:b/>
                <w:sz w:val="26"/>
                <w:szCs w:val="26"/>
              </w:rPr>
              <w:t xml:space="preserve"> </w:t>
            </w:r>
            <w:r w:rsidRPr="00D075F0">
              <w:rPr>
                <w:rFonts w:ascii="Times New Roman" w:hAnsi="Times New Roman"/>
                <w:b/>
                <w:noProof/>
                <w:sz w:val="26"/>
                <w:szCs w:val="26"/>
              </w:rPr>
              <w:t>03/07/2022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bl>
    <w:p w:rsidR="007C0CE3" w:rsidRDefault="007C0CE3"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63"/>
        <w:gridCol w:w="3632"/>
      </w:tblGrid>
      <w:tr w:rsidR="004F7328" w:rsidTr="00FE3ACE">
        <w:trPr>
          <w:trHeight w:val="110"/>
        </w:trPr>
        <w:tc>
          <w:tcPr>
            <w:tcW w:w="6658" w:type="dxa"/>
            <w:gridSpan w:val="2"/>
          </w:tcPr>
          <w:p w:rsidR="004F7328" w:rsidRPr="00047397" w:rsidRDefault="004F7328" w:rsidP="00962622">
            <w:pPr>
              <w:spacing w:after="120"/>
              <w:jc w:val="both"/>
              <w:rPr>
                <w:rFonts w:ascii="Times New Roman" w:hAnsi="Times New Roman"/>
                <w:i/>
                <w:iCs/>
                <w:color w:val="000000"/>
              </w:rPr>
            </w:pPr>
            <w:r>
              <w:rPr>
                <w:rFonts w:ascii="Times New Roman" w:hAnsi="Times New Roman"/>
                <w:i/>
                <w:iCs/>
                <w:color w:val="000000"/>
              </w:rPr>
              <w:lastRenderedPageBreak/>
              <w:t xml:space="preserve">- </w:t>
            </w:r>
            <w:r w:rsidRPr="00047397">
              <w:rPr>
                <w:rFonts w:ascii="Times New Roman" w:hAnsi="Times New Roman"/>
                <w:i/>
                <w:iCs/>
                <w:color w:val="000000"/>
              </w:rPr>
              <w:t xml:space="preserve">Lịch làm việc thay cho thông báo, thư mời. </w:t>
            </w:r>
          </w:p>
          <w:p w:rsidR="004F7328" w:rsidRDefault="004F7328" w:rsidP="00962622">
            <w:pPr>
              <w:spacing w:after="120"/>
              <w:jc w:val="both"/>
              <w:rPr>
                <w:rFonts w:ascii="Times New Roman" w:hAnsi="Times New Roman"/>
              </w:rPr>
            </w:pPr>
            <w:r w:rsidRPr="00047397">
              <w:rPr>
                <w:rFonts w:ascii="Times New Roman" w:hAnsi="Times New Roman"/>
                <w:i/>
                <w:iCs/>
                <w:color w:val="000000"/>
              </w:rPr>
              <w:t>- Lịch làm việc có thể thay đổi hay cập nhật nội dung mới</w:t>
            </w:r>
            <w:r>
              <w:rPr>
                <w:rFonts w:ascii="Times New Roman" w:hAnsi="Times New Roman"/>
                <w:i/>
                <w:iCs/>
                <w:color w:val="000000"/>
              </w:rPr>
              <w:t>.</w:t>
            </w:r>
          </w:p>
        </w:tc>
        <w:tc>
          <w:tcPr>
            <w:tcW w:w="3632" w:type="dxa"/>
          </w:tcPr>
          <w:p w:rsidR="004F7328" w:rsidRDefault="004F7328" w:rsidP="00962622">
            <w:pPr>
              <w:spacing w:after="120"/>
              <w:jc w:val="center"/>
              <w:rPr>
                <w:rFonts w:ascii="Times New Roman" w:hAnsi="Times New Roman"/>
              </w:rPr>
            </w:pPr>
          </w:p>
        </w:tc>
      </w:tr>
      <w:tr w:rsidR="004F7328" w:rsidTr="00FE3ACE">
        <w:trPr>
          <w:trHeight w:val="1756"/>
        </w:trPr>
        <w:tc>
          <w:tcPr>
            <w:tcW w:w="4395" w:type="dxa"/>
          </w:tcPr>
          <w:p w:rsidR="004F7328" w:rsidRDefault="004F7328" w:rsidP="00962622">
            <w:pPr>
              <w:spacing w:after="120"/>
              <w:jc w:val="both"/>
              <w:rPr>
                <w:rFonts w:ascii="Times New Roman" w:hAnsi="Times New Roman"/>
                <w:i/>
                <w:iCs/>
                <w:color w:val="000000"/>
              </w:rPr>
            </w:pPr>
          </w:p>
          <w:p w:rsidR="004F7328" w:rsidRPr="00CA1F65" w:rsidRDefault="004F7328" w:rsidP="00962622">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CA1F65" w:rsidRDefault="004F7328" w:rsidP="00962622">
            <w:pPr>
              <w:jc w:val="both"/>
              <w:rPr>
                <w:rFonts w:ascii="Times New Roman" w:hAnsi="Times New Roman"/>
                <w:iCs/>
                <w:color w:val="000000"/>
              </w:rPr>
            </w:pPr>
            <w:r w:rsidRPr="00CA1F65">
              <w:rPr>
                <w:rFonts w:ascii="Times New Roman" w:hAnsi="Times New Roman"/>
                <w:iCs/>
                <w:color w:val="000000"/>
              </w:rPr>
              <w:t>- Ban Giám đốc;</w:t>
            </w:r>
          </w:p>
          <w:p w:rsidR="004F7328" w:rsidRPr="00CA1F65" w:rsidRDefault="00F1295B" w:rsidP="00962622">
            <w:pPr>
              <w:jc w:val="both"/>
              <w:rPr>
                <w:rFonts w:ascii="Times New Roman" w:hAnsi="Times New Roman"/>
                <w:iCs/>
                <w:color w:val="000000"/>
              </w:rPr>
            </w:pPr>
            <w:r>
              <w:rPr>
                <w:rFonts w:ascii="Times New Roman" w:hAnsi="Times New Roman"/>
                <w:iCs/>
                <w:color w:val="000000"/>
              </w:rPr>
              <w:t>- Các phòng</w:t>
            </w:r>
            <w:r w:rsidR="004F7328" w:rsidRPr="00CA1F65">
              <w:rPr>
                <w:rFonts w:ascii="Times New Roman" w:hAnsi="Times New Roman"/>
                <w:iCs/>
                <w:color w:val="000000"/>
              </w:rPr>
              <w:t>;</w:t>
            </w:r>
          </w:p>
          <w:p w:rsidR="004F7328" w:rsidRPr="00FC4F48" w:rsidRDefault="004F7328" w:rsidP="00962622">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00F1295B">
              <w:rPr>
                <w:rFonts w:ascii="Times New Roman" w:hAnsi="Times New Roman"/>
                <w:iCs/>
                <w:color w:val="000000"/>
              </w:rPr>
              <w:t>VT, VP.</w:t>
            </w:r>
          </w:p>
        </w:tc>
        <w:tc>
          <w:tcPr>
            <w:tcW w:w="5895" w:type="dxa"/>
            <w:gridSpan w:val="2"/>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ngày 27 tháng 6 năm 2022</w:t>
            </w:r>
          </w:p>
          <w:p w:rsidR="004F7328" w:rsidRPr="00CA1F65" w:rsidRDefault="004F7328" w:rsidP="00962622">
            <w:pPr>
              <w:spacing w:after="120"/>
              <w:jc w:val="center"/>
              <w:rPr>
                <w:rFonts w:ascii="Times New Roman" w:hAnsi="Times New Roman"/>
                <w:b/>
                <w:bCs/>
                <w:color w:val="000000"/>
                <w:sz w:val="26"/>
                <w:szCs w:val="26"/>
              </w:rPr>
            </w:pPr>
            <w:r w:rsidRPr="00CA1F65">
              <w:rPr>
                <w:rFonts w:ascii="Times New Roman" w:hAnsi="Times New Roman"/>
                <w:b/>
                <w:bCs/>
                <w:color w:val="000000"/>
                <w:sz w:val="26"/>
                <w:szCs w:val="26"/>
              </w:rPr>
              <w:t>TL. GIÁM ĐỐC</w:t>
            </w:r>
          </w:p>
          <w:p w:rsidR="004F7328" w:rsidRDefault="004F7328" w:rsidP="00962622">
            <w:pPr>
              <w:spacing w:after="120"/>
              <w:jc w:val="center"/>
              <w:rPr>
                <w:rFonts w:ascii="Times New Roman" w:hAnsi="Times New Roman"/>
                <w:i/>
                <w:iCs/>
                <w:color w:val="000000"/>
              </w:rPr>
            </w:pPr>
            <w:r w:rsidR="00FE3ACE" w:rsidRPr="00CA1F65">
              <w:rPr>
                <w:rFonts w:ascii="Times New Roman" w:hAnsi="Times New Roman"/>
                <w:b/>
                <w:bCs/>
                <w:noProof/>
                <w:color w:val="000000"/>
                <w:sz w:val="26"/>
                <w:szCs w:val="26"/>
              </w:rPr>
              <w:t>CHÁNH VĂN PHÒNG</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5F0"/>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1295B"/>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4</TotalTime>
  <Pages>4</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23943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tiến võ</cp:lastModifiedBy>
  <cp:revision>6</cp:revision>
  <dcterms:created xsi:type="dcterms:W3CDTF">2017-08-07T09:56:00Z</dcterms:created>
  <dcterms:modified xsi:type="dcterms:W3CDTF">2018-09-14T02:10:00Z</dcterms:modified>
</cp:coreProperties>
</file>