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30</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18/07/2022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24/07/2022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18/07/2022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Tiếp và trao đổi.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Trao đổi về dự án đầu tư Công ty TNHH Thương mại Quốc tế ATH.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Chủ trì: Phó giám đốc - Nguyễn Trung Tín.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Kinh tế đối ngoại(Trưởng phòng - Nguyễn Thị Mỹ Linh, Chuyên viên - Nguyễn Hoàng Như Quỳnh), Đại diện Infinite Express Enterprise Limited (B.V.I)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18/7/2022 đến ngày 24/7/2022).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 Văn phòng, Thanh tra, Khoa giáo - Văn xã</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Phó Bí thư Tỉnh ủy, Chủ tịch UBND tỉnh làm việc với Ban Thường vụ Thành ủy Dĩ An về tình hình, kết quả thực hiện nhiệm vụ chính tri 6̣ tháng đầu năm, nhiệm vụ trọng tâm 6 tháng cuối năm 2022.(Lịch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Hội trường Thành ủy Dĩ An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Ban Chỉ đạo triển khai thực hiện Đề án "Bảo tồn và phát triển làng nghề sơn mài Tương Bình Hiệp kết hợp với du lịch thuộc địa bàn thành phố Thủ Dầu Một".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Chấp hành Công đoàn mở rộng.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Ban Chấp hành công đoàn, các Tổ Trưởng Công đoàn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Tổ công tác theo dõi, tham mưu việc thực hiện Dự án Bệnh viện đa khoa tuyến cuối tại tỉnh Bình Dương.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19/07/2022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lễ nhận bằng tốt nghiệp lớp Cao cấp lý luận chính trị..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Nguyễn Thanh An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Trường Chính trị</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Đoàn kiểm tra công tác Văn thư lưu trữ..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Nguyễn Trung Tín, Văn phòng, Đoàn kiểm tra</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tuyên truyền Chương trình Mỗi xã một sản phẩm tỉnh Bình Dương năm 2022. (Giấy mời số 71/GM-SNN).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Sở Nông nghiệp và Phát triển nông thôn (60 Lê Thị Trung, phường Phú Lợi)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Hội nghị thông tin thời sự 6 tháng đầu năm 2022. (Thư mời Ban Tuyên giáo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Phó Giám đốc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Trường Chính trị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về việc triển khai Lập báo cáo đề xuất chủ trương đầu tư Xây dựng nghĩa trang nhân dân Bình Mỹ, huyện Bắc Tân Uyên, theo Văn bản 3328/UBND-KT ngày 05/7/2022 của Ủy ban nhân dân tỉnh Bình Dương. (Giấy mời số 42/GM-QLDA).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phòng Kinh tế ngành, phòng Khoa giáo - Văn xã</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Ban Quản lý dự án Đầu tư xây dựng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dự Hội nghị trực tuyến toàn quốc sơ kết công tác y tế 6 tháng đầu năm 2022 do Phó Thủ tướng Vũ Đức Đam chủ trì.(Lịch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Phối hợp kiểm tra các HTX ngưng hoạt động trên địa bàn huyện Dầu Tiếng.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Kinh tế ngành(CV - Huỳnh Minh Vũ)</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Tài Chính - Kế hoạch huyện Dầu Tiếng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Hồ Quang Điệp, Ủy viên Ban Thường vụ Tỉnh ủy, Chủnhiệm Ủy ban Kiểm tra Tỉnh làm việc với Ban Thường vụ Huyện ủy Phú Giáo về tình hình, kết quả thực hiện nhiệm vụ chính trị ̣6 tháng đầu năm, nhiệm vụ trọng tâm 6 tháng cuối năm 2022.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 UBND huyện Phú Giáo.</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về việc chuẩn bị triển khai dự án Khu tưởng niệm cụ Nguyễn Sinh Sắc tại phường Phú Cường, thành phố Thủ Dầu Một, Bình Dương. (Giấy mời số 43/GM-QLDA).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phòng Kinh tế ngành, phòng Khoa giáo - Văn xã</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Ban Quản lý dự án Đầu tư xây dựng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bàn về việc tham mưu hỗ trợ kinh phí thực hiện các chủ trương của Quân khu 7 tại Công văn số 1554/QK-CT ngày 13/6/2022. (Giấy mời số 238/GM-STC).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Phòng TH-QH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2, Sở Tài chính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UVBTV, Phó Chủ tịch UBND tỉnh làm việc với Ban Thường vụ Huyện ủy Bàu Bàng về tình hình, kết quả thực hiện nhiệm vụ chính tri 6̣ tháng đầu năm, nhiệm vụ trọng tâm 6 tháng cuối năm 2022.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 Huyện ủy Bàu Bàng.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Nguyễn Lộc Hà - Phó Chủ tịch UBND tỉnh chủ trì họp nghe Sở Y tế báo cáo đề cương Đề án tổng thể phát triển ngành y tế Bình Dương đến năm 2030.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20/07/2022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chủ trì họp nghe cho ý kiến các nội dung: (1) Giải quyết những khó khăn, vướng mắc liên quan đến Cụm Công nghiệp Tam Lập 2; (2) Báo cáo tình hình các khu tái định cư; (3) Báo cáo công tác chấp thuận chủ trương đầu tư các khu dự án khu đô thị (Sở Kế hoạch và Đầu tư); (4) Dự án Khu công nghiệp Sóng Thần 3 và Dự án Khu nhà ở Đại Nam.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Đào tạo cán bộ quản lý điều hành Chương trình Mỗi xã sản phẩm (OCOP) cấp tỉnh năm 2022 (Từ ngày 20-21/7/2022). (Công văn số 1497/SNN-NN).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Sở Nông nghiệp và Phát triển nông thôn (60 đường Lê Thị Trung, phường Phú Lợi)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họp nghe các ngành báo cáo tiến độ triển khai 1 số dự án ngành Văn hóa - Thể thao, Du lịch; Khu tưởng niệm cụ Nguyễn Sinh Sắc; Khu liên hợp thể dục, thể thao; Tượng đài tranh hoàn tráng.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Đoàn Kiểm tra (Quyết định 2515) của Đảng ủy khối các Cơ quan và Doanh nghiệp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Đoàn Kiểm tra; BCH Đảng bộ; UBKT Đảng ủy; Chủ tịch Công đoàn; Bí thư Chi đoàn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2 - Sở Kế hoạch và Đầu tư</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Thường trực Tỉnh ủy nghe và cho ý kiến các nội dung về Trường Đại học Thủ Dầu Một..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21/07/2022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nghiên cứu, học tập, quán triệt nghị quyết Hội nghịTrung ương 5 (khóa XIII). (Công văn số 848-CV/TU)</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chủ trì họp giải quyết một số đề xuất, kiến nghị của Sở Tài nguyên và Môi trường.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Phó Giám đốc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22/07/2022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thảo chuyển đổi số năm 2022 cho CCVC phụ trách công nghệ thông tin. (Công văn số 518/STTTT-CNTT&amp;BCVT).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Hà Mỹ Hạnh, Phan Nguyễn Đăng Thông, Nguyễn Quốc Bình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Công nghệ thông tin và Truyền thông (số 36 đường Trịnh Hoài Đức, phường Phú Lợi, tp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nghiên cứu, học tập, quán triệt nghị quyết Hội nghịTrung ương 5 (khóa XIII). (Công văn số 848-CV/TU)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tiếp và làm việc với Đoàn Giám sát Quốc hội khóa XV.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sơ kết công tác 6 tháng đầu năm, triển khai nhiệm vụ 6 tháng cuối năm 2022 của ngành Thanh tra Bình Dương. (Giấy mời số 109/GM-TTr).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Thái Thanh Sơn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Thanh tra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tiếp lãnh đạo JICA Việt Nam đến chào xã giao. (Lịch làm việc UBDN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Phó Giám đốc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tiếp và làm việc với Lãnh đạo Tập đoàn Sharp.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Phó Giám đốc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23/07/2022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24/07/2022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18 tháng 7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