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SỞ KẾ HOẠCH VÀ ĐẦU TƯ</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34</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15/08/2022</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21/08/2022</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15/08/2022</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Tiếp và làm việc với Đoàn công tác của Ủy ban Xã hội. (Chương trình số 16/CTr-UBND).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Ủy ban nhân dân thị xã Bến Cát</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Nghe phòng Kinh tế ngành báo cáo tiến độ thực hiện các dự án phòng đang xử lý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Đảng ủy, BGĐ, phòng KTN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Trực xử lý công việc khi có phát sinh, đột xuất (từ ngày 15/8/2022 đến ngày 21/8/2022)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Trịnh Hoàng Tuấn Anh, Kinh tế ngành, Tổng hợp, Trung tâm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bookmarkStart w:id="0" w:name="_GoBack"/>
            <w:bookmarkEnd w:id="0"/>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Thường trực Tỉnh ủy nghe và cho ý kiến về các nội dung:(Lịch làm việc Tỉnh ủy)</w:t>
              <w:br/>
              <w:t xml:space="preserve">Nội dung 2: các nội dung do Ban cán sự đảng UBND tỉnh trình:</w:t>
              <w:br/>
              <w:t xml:space="preserve">- Báo cáo công tác chuẩn bị khai giảng năm học mới 2022 - 2023.</w:t>
              <w:br/>
              <w:t xml:space="preserve">- Báo cáo tình hình công tác tiêm vắc xin Covid-19.</w:t>
              <w:br/>
              <w:t xml:space="preserve">- Tình hình cấp phép cho lao động nước ngoài và kết quả thực hiện chính sách hỗ trợ tiền thuê nhà cho người lao động trên địa bàn tỉnh theo Quyết định số 08/2022/QĐ-TTg, ngày 28/3/2022 của Thủtướng Chính phủ.</w:t>
              <w:br/>
              <w:t xml:space="preserve">- Báo cáo công tác chuẩn bị tổ chức Lễ Kỷ niệm 77 năm Cách mạng Tháng Tám (19/8) và Quốc khánh nước Cộng hòa Xã hội Chủ nghĩa Việt Nam (2/9)..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quản lý thực hiện nhiệm vụ quy hoạch tỉnh Bình Dương thời kỳ 2021 - 2030, tầm nhìn đến năm 2050.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Chủ trì: Phó Giám đốc - Trịnh Hoàng Tuấn Anh.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Thành viên Ban quản lý thực hiện nhiệm vụ quy hoạch tỉnh theo Quyết định 54/QĐ-SKHĐT ngày 10/8/2022 của Sở Kế hoạch và Đầu tư</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16:30: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Lễ công bố trao quyết định cho Cục Trưởng Cục Thuế tỉnh Bình Dương (theo Giấy mời số 584/GM-CTBD).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Cục Thuế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w:t>
            </w:r>
            <w:r w:rsidRPr="00D075F0">
              <w:rPr>
                <w:rFonts w:ascii="Times New Roman" w:hAnsi="Times New Roman"/>
                <w:b/>
                <w:noProof/>
                <w:sz w:val="26"/>
                <w:szCs w:val="26"/>
              </w:rPr>
              <w:t xml:space="preserve"> </w:t>
            </w:r>
            <w:r w:rsidRPr="00D075F0">
              <w:rPr>
                <w:rFonts w:ascii="Times New Roman" w:hAnsi="Times New Roman"/>
                <w:b/>
                <w:noProof/>
                <w:sz w:val="26"/>
                <w:szCs w:val="26"/>
              </w:rPr>
              <w:t>16/08/2022</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gia kiểm tra công trình hồ chứa nước trong mùa mưu lũ năm 2022. (Giấy mời số 418/GM-CCTL).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Nguyễn Bá Thông</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Tập trung tại Sở Nông nghiệp và PTNT (Sở cũ) (Số 60, đường Lê Thị Trung, phường Phú Lợi, thành phố TDM, BD)</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Hoàng Thao, Phó Bí thư Thường trực Tỉnh ủy họp nghe và cho ý kiến về dự thảo Đề án Trường Chính trị chuẩn. (Lịch làm việc Tỉnh ủy)</w:t>
              <w:b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Trường Chính trị</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họp triển khai các nội dung rà soát liên quan đến tập đoàn FLC và Công ty AIC (theo Thư mời của Tổ rà soát).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Ủy ban kiểm tra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thẩm định nhiệm vụ quy hoạch chi tiết xây dựng tỷ lệ 1/500 Dự án Công ty Cổ phần Sữa Quốc tế - Chi nhánh Bình Dương, thuộc Khu công nghiệp Bàu Bàng mở rộng, xã Long Tân, huyện Dầu Tiếng, tỉnh Bình Dương. (Giấy mời số 365/GM-BQL).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phòng Kinh tế ngành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Ban Quản lý, tầng 5,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Tiếp và làm việc với Đoàn công tác của Ủy ban Xã hội. (Chương trình số 16/CTr-UBND)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đồng chí Nguyễn Văn Dành - Phó Chủ tịch UBND tỉnh chủ trì họp nghe báo cáo tình hình thực hiện, giải ngân kế hoạch đầu tư công năm 2022; dự kiến điều chỉnh kế hoạch đầu tư công trung hạn giai đoạn 2021-2025, kế hoạch đầu tư công 2022; dự kiến kế hoạch đầu tư công 2023.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phối hợp triển khai thực hiện các văn bản về xây dựng nông thôn mới giai đoạn 2021-2025. (Công văn số 1731/SNN-NN).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Phòng KTN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A - Sở Nông nghiệp và PTNN, tầng 3,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17/08/2022</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gia kiểm tra công trình hồ chứa nước trong mùa mưu lũ năm 2022. (Giấy mời số 418/GM-CCTL).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Nguyễn Bá Thông</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Tập trung tại Sở Nông nghiệp và PTNT (Sở cũ) (Số 60, đường Lê Thị Trung, phường Phú Lợi, thành phố TDM, BD)</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ý Thường trực Tỉnh ủy về công tác triển khai thực hiện một số dự án giao thông trọng điểm như: Quốc lộ 13, Vành đai 3, Vành đai 4, OM Mỹ Phước - Tân Vạn, ĐT 746. (Công văn số 1586-CV/VPTU).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VIP 1(Tầng P1)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Đi công tác Hà Nội..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Thường trực Tỉnh ủy nghe và cho ý kiến về các nội dung:(Lịch làm việc Tỉnh ủy)</w:t>
              <w:br/>
              <w:t xml:space="preserve">Nội dung 2: Báo cáo dự kiến nội dung và những chính sách trình kỳ họp thứ bảy - HĐND tỉnh khóa X.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Thường vụ Đảng ủy định kỳ.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Chủ trì: GĐ - Phạm Trọng Nhân - Bí thư Đảng ủy Sở.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Ban Thường vụ Đảng ủy Sở</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1 - Sở Kế hoạch và Đầu tư</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xem xét ý tưởng nghiên cứu khu vực phát triển đô thị trên địa bàn thành phố Thủ Dầu Một, tỉnh Bình Dương. (Giấy mời số 3227/GM-SXD).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Phòng KTN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B - Sở Xây dựng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rà soát, tháo gỡ khó khăn trong công tác mua thuốc, vật tư, trang thiết bị y tế.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Lai Xuân Đạt, Phòng KGVX</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Sở Y tế</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Chấp hành Đảng bộ định kỳ.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Chủ trì: GĐ - Phạm Trọng Nhân - Bí thư Đảng ủy Sở.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Ban Thường vụ; Ban Chấp hành Đảng bộ</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Hội trường 1 - Sở Kế hoạch và Đầu tư</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Văn Dành - Phó Chủ tịch UBND tỉnh, Trưởng Ban chỉ đạo chủ trì họp Đề án " Bảo tồn và phát triển làng nghề sơn mài Tương Bình Hiệp kết hợp với du lịch thuộc địa bàn thuộc Thành phố Thủ Dầu Một"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Lai Xuân Đạt (TV- Quyết định số 581/QĐ-UBND)</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rà soát, tháo gỡ khó khăn trong công tác mua thuốc, vật tư, trang thiết bị y tế năm 2022. (Giấy mời số 91/GM-SYT).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Phòng KGVX</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Văn phòng Sở Y tế, tầng 15,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Làm việc với Cục Phòng vệ thương mại về tình hình phối hợp liên ngành xử lý các vụ việc PVTM do nước ngoài điều tra. (Công văn số 1991/SCT-QLTM).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Phòng KTN</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Sở Công thương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18/08/2022</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gia cuộc họp Tổ giúp việc triển khai Đề án 06 của Chính phủ trên địa bàn tỉnh. (Thông báo số 13/TB-TGV(PC06)).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Phan Nguyễn Đăng Thông</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PC06 - Công an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Thường vụ Tỉnh ủy nghe và cho ý kiến về các nội dung: (Lịch làm việc Tỉnh ủy)</w:t>
              <w:br/>
              <w:t xml:space="preserve">Nội dung 1: Báo cáo về tình hình kinh tế - xã hội, quốc phòng - an ninh tháng 7/2022 và 7 tháng năm 2022; báo cáo công tác chuẩn bịkhai giảng năm học mới 2022 - 2023; báo cáo những nội dung chủ yếu và dự kiến những nghị quyết, chính sách đặc thù sẽ trình tại kỳ họp thứ bảy - HĐND tỉnh khóa X..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nghe UBND thành phố Thủ Dầu Một và Tổng Công ty Đầu tư và Phát triển nhà và Đô thị báo cáo việc phối hợp đầu tư dự án nâng cấp mở rộng đường Nguyễn Văn Cừ (từ đường Huỳnh Văn Cù đến rạch Nhà Thờ) phường Chánh Mỹ, thành phố Thủ Dầu Một. (Giấy mời số 2854/GM-SGTVT).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KTN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Sở Giao thông vận tải, tầng 12A, tháp A</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về tham mưu chủ trương thực hiện trước một số phần thuộc Dự án Thiết bị Bệnh viện đa khoa 1500 giường</w:t>
              <w:br/>
              <w:t xml:space="preserve">.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Chủ trì: Phó Giám đốc - Lai Xuân Đạt.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Phòng KGVX; Các sở: TC, XD, Thông tin và Truyền thông, Y tế; Ban Quản lý dự án Đầu tư Xây dựng; BVĐK tỉnh;  Tổ Kiểm tra giám sát việc triển khai thực hiện Dự án BVĐK 1500 giường</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lớp tập huấn về phương pháp phân loại, tiêu chí xác định, lựa chọn các dự án ưu tiên thích hợp với biến đổi khí hậu.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Kinh tế ngành(CV - Huỳnh Minh Vũ, Trưởng phòng - Nguyễn Bá Thông)</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Khách sạn Royal Sài Gòn, số 133 Nguyễn Huệ, phường Bến Nghé, Quận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thảo về "Số hóa, kết nối, chia sẻ dữ liệu phục vụ giải quyết thủ tục hành chính: Kinh nghiệm của Pháp và thực tiễn triễn khai tại Việt Nam". (Giấy mời số 170/GM-UBND).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Lai Xuân Đạt, Hà Mỹ Hạnh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thường kỳ Hội đồng quản lý và Ban Kiểm soát Quỹ bảo vệ môi trường. (Thư mời số 444/QBVMT-HĐQL).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KTN dự thay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Trung tâm Quan trắc Kỹ thuật Tài nguyên và Môi trường, số 26 đường Huỳnh Văn Nghệ, phường Phú Lợi, tp Thủ Dầu Một,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xem xét giao chủ đầu tư 4 dự án đầu tư thêm các tuyến ống nhánh công trình cấp nước tập trung nông thôn.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Kinh tế ngành(Trưởng phòng - Nguyễn Bá Thông), sở Xây dựng, Sở Nông nghiệp và Phát triển nông thôn, Ban Quản lý Dự án ngành Nông nghiệp và Phát triển nông thôn, Trung tâm Đầu tư, khai thác thủy lợi và nước sạch nông thôn</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19/08/2022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7:30: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Chương trình Hội thảo chuyển đổi số cho doanh nghiệp nhỏ và vừa tỉnh Bình Dương góc nhìn người triển khai..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Trịnh Hoàng Tuấn Anh,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Trung tâm Hội nghị và Triển lãm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Lập biên bản làm việc với Công ty TNHH Kyungbang Việt Nam (Đoàn kiểm tra theo quyết định số 27/QĐ-SKHĐT của Sở).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Thanh tra(Phó Chánh Thanh tra - Huỳnh Thị Hồng Hạnh, CV - Nguyễn Đỗ Đoan Phượng)</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khu công nghiệp Bàu Bàng, thị trấn Lai Uyên, huyện Bàu Bàng, tỉnh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đồng chí Nguyễn Văn Dành - Phó Chủ tịch UBND tỉnh chủ trì họp triển khai các nội dung: (1) Thông báo kết luận buổi làm việc giữa Thường trực Thành ủy Thành phố Hồ Chí Minh và Thường trực Tỉnh ủy Bình Dương (Sở Giao thông vận tải, Sở Tài nguyên và Môi trường chuẩn phối hợp các đơn vị liên quan chuyển bị nội dung); (2) Thông báo kết luận buổi làm việc giữa UBND tỉnh Bình Dương và UBND tỉnh Đồng Nai (Sở Giao thông vận tải, Sở Tài nguyên và Môi trường chuẩn bị nội dung); (3) Thông báo số 193-TB/VPTU ngày 29/7/2022 của Văn phòng Tỉnh ủy: + Triển khai thiết kế các tờ khai, giấy tờ điện tử (form) thay cho giấy, bảo đảm phục vụ cho người dân, doanh nghiệp ngày càng tốt hơn trong thực hiện giao dịch dịch vụ công trực tuyến, điện tử (Sở Thông tin và Truyền thông chuẩn bị nội dung);  + Đề xuất quy họach sử dụng các khu đất công trên địa bàn Thành phố Thủ Dầu Một (Sở Tài nguyên và Môi trường phối hợp Công ty TNHH MTV Đầu tư và Quản lý dự án Bình Dương chuẩn bị nội dung); (4) báo cáo thông qua Đề án đầu tư tuyến cao tốc Vành đai 4 - thành phố Hồ Chí Minh (Tổng Công ty Becamex chuẩn bị nội dung), dự án cảng An Tây (Sở Kế hoạch và Đầu tư chuẩn bị nội dung) và nghe báo cáo tình hình thực hiện kết luận của Thủ tướng Chính phủ tại Thông báo số 96/TB-VPCP ngày 04/4/2022 về các dự án đầu tư ngành giao thông vận tải trên địa bàn tỉnh.(Lịch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GĐ Phạm Trọng Nhân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gia Hội nghị tập huấn công tác đối ngoại nhân dân năm 2022. (Công văn số 262/MTTQ-BTT).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Phòng KTĐN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A - Trường Chính trị Bình Dương</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V/v rà soát các nội dung theo ý kiến kết luận của đồng chí Võ Văn Minh - Chủ tịch Ủy ban nhân dân tỉnh tại Thông báo số 244/TB-UBND ngày 03/8/2022.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Chủ trì: Phó giám đốc - Nguyễn Trung Tín.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Đại diện Lãnh đạo Văn phòng UBND tỉnh, Lãnh đạo Sở Tài nguyên và Môi trường, Lãnh đạo Văn phòng đăng ký đất đai</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Tiếp và làm việc với Cục Phát triển doanh nghiệp - Bộ Kế hoạch và Đầu tư và USAid Hoa Kỳ..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BGĐ, VP, phòng ĐKKD, phòng KTĐN, Trung tâm HTDN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Tham dự lớp tập huấn về phương pháp phân loại, tiêu chí xác định, lựa chọn các dự án ưu tiên thích hợp với biến đổi khí hậu.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Kinh tế ngành(CV - Huỳnh Minh Vũ, Trưởng phòng - Nguyễn Bá Thông)</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Khách sạn Royal Sài Gòn, số 133 Nguyễn Huệ, phường Bến Nghé, Quận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20/08/2022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Hội nghị "phát triển thị trường lao động linh hoạt, hiện đại bền vững và hội nhập". (Thư mời số 173/TM-UBND).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21/08/2022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lastRenderedPageBreak/>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19 tháng 8 năm 2022</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00FE3ACE"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4</TotalTime>
  <Pages>4</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tiến võ</cp:lastModifiedBy>
  <cp:revision>6</cp:revision>
  <dcterms:created xsi:type="dcterms:W3CDTF">2017-08-07T09:56:00Z</dcterms:created>
  <dcterms:modified xsi:type="dcterms:W3CDTF">2018-09-14T02:10:00Z</dcterms:modified>
</cp:coreProperties>
</file>